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BDD" w:rsidRPr="00723BDD" w:rsidRDefault="00723BDD" w:rsidP="00723BD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3BDD">
        <w:rPr>
          <w:rFonts w:ascii="Times New Roman" w:eastAsia="Calibri" w:hAnsi="Times New Roman" w:cs="Times New Roman"/>
          <w:b/>
          <w:sz w:val="28"/>
          <w:szCs w:val="28"/>
        </w:rPr>
        <w:t>Прогноз поступления доходов в краевой бюджет на 2021 год и на плановый период 2022 и 2023 годов</w:t>
      </w:r>
    </w:p>
    <w:p w:rsidR="00723BDD" w:rsidRPr="00723BDD" w:rsidRDefault="00723BDD" w:rsidP="00723B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BDD" w:rsidRPr="00723BDD" w:rsidRDefault="00723BDD" w:rsidP="0072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13.08.2021 поступление доходов по коду бюджетной классификации  810 1 13 01992 02 0000 130 «Прочие доходы от оказания платных услуг (работ) получателями средств бюджетов субъектов Российской Федерации» составляет 324 326,32 рублей. </w:t>
      </w:r>
    </w:p>
    <w:p w:rsidR="00723BDD" w:rsidRPr="00723BDD" w:rsidRDefault="00723BDD" w:rsidP="0072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уставной деятельностью Краевым государственным казенным учреждением «Региональный центр развития энергетики и энергосбережения» оказываются услуги по выполнению работ «Анализ документации, регламентирующей обеспечение коммунальными ресурсами организации, на предмет соответствия действующему законодательству и договорным отношениям с </w:t>
      </w:r>
      <w:proofErr w:type="spellStart"/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ресурсоснабжающими</w:t>
      </w:r>
      <w:proofErr w:type="spellEnd"/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организациями, с выдачей заключения и рекомендаций, в том числе термографическое обследование»; «Разработка программы в области энергосбережения и повышения энергетической эффективности». </w:t>
      </w:r>
    </w:p>
    <w:p w:rsidR="00723BDD" w:rsidRPr="00723BDD" w:rsidRDefault="00723BDD" w:rsidP="0072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доход имеет несистемный характер поступления.  Прогнозируемый объем поступлений рассчитан с учетом уровня инфляции на 2022 год в размере 104,0%, на 2023 год – 104,0%, на 2024 год – 104,0%. Показатели на плановый период установлены в величинах, равных объему средств года, предшествующего плановому (324 326,32 рублей).</w:t>
      </w:r>
    </w:p>
    <w:p w:rsidR="00723BDD" w:rsidRPr="00723BDD" w:rsidRDefault="00723BDD" w:rsidP="0072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Pr="00723B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23B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утвержденной методике прогнозирования поступлений доходов в бюджет Камчатского края, главным администратором которых является Министерство жилищно-коммунального хозяйства Камчатского края,</w:t>
      </w: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поступлений по коду бюджетной классификации доходов                                         </w:t>
      </w:r>
      <w:r w:rsidR="00EB6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810 1 13 01992 02 0000 130 составит: </w:t>
      </w:r>
    </w:p>
    <w:p w:rsidR="00723BDD" w:rsidRPr="00723BDD" w:rsidRDefault="00723BDD" w:rsidP="00723BD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337 299,37 рублей;</w:t>
      </w:r>
    </w:p>
    <w:p w:rsidR="00723BDD" w:rsidRPr="00723BDD" w:rsidRDefault="00723BDD" w:rsidP="00723BD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 – 350 791,34 рублей; </w:t>
      </w:r>
    </w:p>
    <w:p w:rsidR="00723BDD" w:rsidRPr="00723BDD" w:rsidRDefault="00723BDD" w:rsidP="00723BD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год – </w:t>
      </w:r>
      <w:bookmarkStart w:id="0" w:name="_GoBack"/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>364 822,99</w:t>
      </w:r>
      <w:bookmarkEnd w:id="0"/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723BDD" w:rsidRPr="00723BDD" w:rsidRDefault="00723BDD" w:rsidP="0072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5BB" w:rsidRDefault="00DF25BB"/>
    <w:sectPr w:rsidR="00DF25BB" w:rsidSect="00932E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C36EE"/>
    <w:multiLevelType w:val="hybridMultilevel"/>
    <w:tmpl w:val="EC0662EA"/>
    <w:lvl w:ilvl="0" w:tplc="5044C6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D2E"/>
    <w:rsid w:val="00370BF8"/>
    <w:rsid w:val="00410D2E"/>
    <w:rsid w:val="005D528D"/>
    <w:rsid w:val="00723BDD"/>
    <w:rsid w:val="00B001C0"/>
    <w:rsid w:val="00DF25BB"/>
    <w:rsid w:val="00EB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BF9B4"/>
  <w15:docId w15:val="{A4AA52BB-62C9-422A-8DB1-8EBFE220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Бажутина Евгения Аркадьевна</dc:creator>
  <cp:keywords/>
  <dc:description/>
  <cp:lastModifiedBy>Ахметшина Ирина Викторовна</cp:lastModifiedBy>
  <cp:revision>3</cp:revision>
  <dcterms:created xsi:type="dcterms:W3CDTF">2021-09-01T02:59:00Z</dcterms:created>
  <dcterms:modified xsi:type="dcterms:W3CDTF">2021-09-01T03:07:00Z</dcterms:modified>
</cp:coreProperties>
</file>